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012948">
        <w:rPr>
          <w:b/>
          <w:i/>
          <w:sz w:val="24"/>
          <w:szCs w:val="24"/>
        </w:rPr>
        <w:t>TARRING OF BIKITSHA STREET IN ZONE 12</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012948" w:rsidP="00C7728D">
      <w:pPr>
        <w:jc w:val="center"/>
        <w:rPr>
          <w:b/>
          <w:sz w:val="24"/>
          <w:szCs w:val="24"/>
        </w:rPr>
      </w:pPr>
      <w:r>
        <w:rPr>
          <w:b/>
          <w:sz w:val="24"/>
          <w:szCs w:val="24"/>
        </w:rPr>
        <w:t>TARRING OF BIKITSHA STREET IN ZONE 12</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9322"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9323"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9324"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012948" w:rsidP="00653AF5">
      <w:pPr>
        <w:jc w:val="center"/>
        <w:rPr>
          <w:b/>
          <w:sz w:val="40"/>
          <w:szCs w:val="40"/>
        </w:rPr>
      </w:pPr>
      <w:r>
        <w:rPr>
          <w:b/>
          <w:sz w:val="24"/>
          <w:szCs w:val="24"/>
        </w:rPr>
        <w:t>TARRING OF BIKITSHA STREET IN ZONE 12</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012948">
        <w:rPr>
          <w:b/>
          <w:sz w:val="24"/>
          <w:szCs w:val="24"/>
        </w:rPr>
        <w:t>TARRING OF BIKITSHA STREET IN ZONE 12</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012948" w:rsidP="001C2CDE">
      <w:pPr>
        <w:ind w:left="360"/>
        <w:rPr>
          <w:b/>
          <w:sz w:val="24"/>
          <w:szCs w:val="24"/>
        </w:rPr>
      </w:pPr>
      <w:r>
        <w:rPr>
          <w:b/>
          <w:sz w:val="24"/>
          <w:szCs w:val="24"/>
        </w:rPr>
        <w:t>TARRING OF BIKITSHA STREET IN ZONE 12</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012948">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012948">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2948"/>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62F0A-003E-4B8E-9035-6BBBE272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4637</Words>
  <Characters>26432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31007</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2016-06-28T23:16:00Z</dcterms:modified>
</cp:coreProperties>
</file>